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2D4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招标公告</w:t>
      </w:r>
    </w:p>
    <w:p w14:paraId="109FEB9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一、本项目招标人为青岛海氏海诺乐享医疗器械有限公司，项目资金属企业自有，出资比例100%；该项目已具备招标条件，现对本项目进行公开招标。</w:t>
      </w:r>
    </w:p>
    <w:p w14:paraId="7960F165">
      <w:pPr>
        <w:pStyle w:val="4"/>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项目概述</w:t>
      </w:r>
    </w:p>
    <w:p w14:paraId="22991910">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海氏海诺乐享医用制品及卫生材料基地项目(1#及连廊、3#、门卫)-消防送风排烟甲供材</w:t>
      </w:r>
      <w:r>
        <w:rPr>
          <w:rFonts w:hint="eastAsia" w:ascii="宋体" w:hAnsi="宋体" w:eastAsia="宋体" w:cs="宋体"/>
          <w:sz w:val="24"/>
          <w:szCs w:val="24"/>
          <w:lang w:eastAsia="zh-CN"/>
        </w:rPr>
        <w:t>采购招标项目 （HNLX20260</w:t>
      </w:r>
      <w:r>
        <w:rPr>
          <w:rFonts w:hint="eastAsia" w:ascii="宋体" w:hAnsi="宋体" w:eastAsia="宋体" w:cs="宋体"/>
          <w:sz w:val="24"/>
          <w:szCs w:val="24"/>
          <w:lang w:val="en-US" w:eastAsia="zh-CN"/>
        </w:rPr>
        <w:t>71001</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具体的</w:t>
      </w:r>
      <w:r>
        <w:rPr>
          <w:rFonts w:hint="eastAsia" w:ascii="宋体" w:hAnsi="宋体" w:eastAsia="宋体" w:cs="宋体"/>
          <w:sz w:val="24"/>
          <w:szCs w:val="24"/>
          <w:lang w:eastAsia="zh-CN"/>
        </w:rPr>
        <w:t>技术型号详见</w:t>
      </w:r>
      <w:r>
        <w:rPr>
          <w:rFonts w:hint="eastAsia" w:ascii="宋体" w:hAnsi="宋体" w:eastAsia="宋体" w:cs="宋体"/>
          <w:sz w:val="24"/>
          <w:szCs w:val="24"/>
          <w:lang w:val="en-US" w:eastAsia="zh-CN"/>
        </w:rPr>
        <w:t>招标文件及相关图纸</w:t>
      </w:r>
      <w:r>
        <w:rPr>
          <w:rFonts w:hint="eastAsia" w:ascii="宋体" w:hAnsi="宋体" w:eastAsia="宋体" w:cs="宋体"/>
          <w:sz w:val="24"/>
          <w:szCs w:val="24"/>
          <w:lang w:eastAsia="zh-CN"/>
        </w:rPr>
        <w:t>。</w:t>
      </w:r>
    </w:p>
    <w:p w14:paraId="2BF900D0">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招标范围：桥架设计、制造、供货、运输、装卸、调试、检测、验收、培训、质保期维保、备品备件及专用工具等交钥匙工程,并按工作顺序提交所需的资料等。​</w:t>
      </w:r>
    </w:p>
    <w:p w14:paraId="0AA0FE9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lang w:eastAsia="zh-CN"/>
        </w:rPr>
        <w:t>交货工期：接到招标人通知后【30】日历天内完成供货。​</w:t>
      </w:r>
    </w:p>
    <w:p w14:paraId="7CB5A21B">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三</w:t>
      </w:r>
      <w:r>
        <w:rPr>
          <w:rFonts w:hint="eastAsia" w:ascii="宋体" w:hAnsi="宋体" w:eastAsia="宋体" w:cs="宋体"/>
          <w:sz w:val="24"/>
          <w:szCs w:val="24"/>
          <w:u w:val="none"/>
          <w:lang w:eastAsia="zh-CN"/>
        </w:rPr>
        <w:t>、本清单为预计需求量，具体以采购人的实际合同为准。</w:t>
      </w:r>
    </w:p>
    <w:p w14:paraId="5F18DC45">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四</w:t>
      </w:r>
      <w:r>
        <w:rPr>
          <w:rFonts w:hint="eastAsia" w:ascii="宋体" w:hAnsi="宋体" w:eastAsia="宋体" w:cs="宋体"/>
          <w:sz w:val="24"/>
          <w:szCs w:val="24"/>
          <w:u w:val="none"/>
          <w:lang w:eastAsia="zh-CN"/>
        </w:rPr>
        <w:t>、投标人单位要求</w:t>
      </w:r>
    </w:p>
    <w:p w14:paraId="57C723A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1、投标人应为符合《中华人民共和国招标投标法》规定的独立法人或其他组织。</w:t>
      </w:r>
    </w:p>
    <w:p w14:paraId="0DAF765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2、只有在法律和财务上独立，根据商业法规运作并独立于招标人的法人或其他组织才能参与本项下的投标。</w:t>
      </w:r>
    </w:p>
    <w:p w14:paraId="77B23E6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3、满足《招标书》及前述要求，注册资本人民币100万元及以上。</w:t>
      </w:r>
    </w:p>
    <w:p w14:paraId="0C0FF75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lang w:eastAsia="zh-CN"/>
        </w:rPr>
        <w:t>、具有符合国家法律法规要求的、管理部门认可发放的青岛市建设工程材料登记备案证并能提供检验报告。</w:t>
      </w:r>
    </w:p>
    <w:p w14:paraId="5B44CC5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lang w:eastAsia="zh-CN"/>
        </w:rPr>
        <w:t>.业绩要求：近 3 年具有【5】项及以上同类型配电箱供货安装业绩（提供合同及验收证明），在青岛地区有售后及维保公司（需提供相关材料）。</w:t>
      </w:r>
    </w:p>
    <w:p w14:paraId="795FEC42">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6.信誉要求：未被列入失信被执行人、重大税收违法失信主体、政府采购严重违法失信行为记录名单。​</w:t>
      </w:r>
    </w:p>
    <w:p w14:paraId="6FF7AB3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7.本项目不接受联合体投标，不允许分包、转包。</w:t>
      </w:r>
    </w:p>
    <w:p w14:paraId="0B6F638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8.中标单位须提供微断、塑壳的样品，用于正式供货时核对进货时开关型号。</w:t>
      </w:r>
    </w:p>
    <w:p w14:paraId="4B49D4BC">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五</w:t>
      </w:r>
      <w:r>
        <w:rPr>
          <w:rFonts w:hint="eastAsia" w:ascii="宋体" w:hAnsi="宋体" w:eastAsia="宋体" w:cs="宋体"/>
          <w:sz w:val="24"/>
          <w:szCs w:val="24"/>
          <w:u w:val="none"/>
          <w:lang w:eastAsia="zh-CN"/>
        </w:rPr>
        <w:t>、招标方式：☑公开招标 ☑邀请招标  □其他招标方式：</w:t>
      </w:r>
    </w:p>
    <w:p w14:paraId="6A730DF4">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六</w:t>
      </w:r>
      <w:r>
        <w:rPr>
          <w:rFonts w:hint="eastAsia" w:ascii="宋体" w:hAnsi="宋体" w:eastAsia="宋体" w:cs="宋体"/>
          <w:sz w:val="24"/>
          <w:szCs w:val="24"/>
          <w:u w:val="none"/>
          <w:lang w:eastAsia="zh-CN"/>
        </w:rPr>
        <w:t xml:space="preserve">、投标保证金：☑无 </w:t>
      </w:r>
    </w:p>
    <w:p w14:paraId="5AEB4BC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七</w:t>
      </w:r>
      <w:r>
        <w:rPr>
          <w:rFonts w:hint="eastAsia" w:ascii="宋体" w:hAnsi="宋体" w:eastAsia="宋体" w:cs="宋体"/>
          <w:sz w:val="24"/>
          <w:szCs w:val="24"/>
          <w:u w:val="none"/>
          <w:lang w:eastAsia="zh-CN"/>
        </w:rPr>
        <w:t>、招标文件领取</w:t>
      </w:r>
    </w:p>
    <w:p w14:paraId="0FC771C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1.投标单位接到邀请电话后，即可联系邀标方领取纸质版或电子版邀标文件。</w:t>
      </w:r>
    </w:p>
    <w:p w14:paraId="7164C09F">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2.投标单位根据实际需求，自行联系邀标方进行现场勘察。</w:t>
      </w:r>
    </w:p>
    <w:p w14:paraId="413E9217">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八</w:t>
      </w:r>
      <w:r>
        <w:rPr>
          <w:rFonts w:hint="eastAsia" w:ascii="宋体" w:hAnsi="宋体" w:eastAsia="宋体" w:cs="宋体"/>
          <w:sz w:val="24"/>
          <w:szCs w:val="24"/>
          <w:u w:val="none"/>
          <w:lang w:eastAsia="zh-CN"/>
        </w:rPr>
        <w:t>、投标文件的递交</w:t>
      </w:r>
    </w:p>
    <w:p w14:paraId="18775FC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1.纸质版投标文件要求密封，在封口处加盖单位公章，并于邮寄至以下地址：</w:t>
      </w:r>
    </w:p>
    <w:p w14:paraId="36A27D4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山东青岛莱西市姜山工业园区，海氏海诺集团新工业区8号，乳胶公司院内办公室</w:t>
      </w:r>
    </w:p>
    <w:p w14:paraId="12AD1624">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2.电子版可发送到企业邮箱：1795189860@qq.com。</w:t>
      </w:r>
    </w:p>
    <w:p w14:paraId="15371489">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3.投标文件递交截止时间：  2026  年  </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 xml:space="preserve">  月  </w:t>
      </w:r>
      <w:r>
        <w:rPr>
          <w:rFonts w:hint="eastAsia" w:ascii="宋体" w:hAnsi="宋体" w:eastAsia="宋体" w:cs="宋体"/>
          <w:sz w:val="24"/>
          <w:szCs w:val="24"/>
          <w:u w:val="none"/>
          <w:lang w:val="en-US" w:eastAsia="zh-CN"/>
        </w:rPr>
        <w:t xml:space="preserve">15 </w:t>
      </w:r>
      <w:r>
        <w:rPr>
          <w:rFonts w:hint="eastAsia" w:ascii="宋体" w:hAnsi="宋体" w:eastAsia="宋体" w:cs="宋体"/>
          <w:sz w:val="24"/>
          <w:szCs w:val="24"/>
          <w:u w:val="none"/>
          <w:lang w:eastAsia="zh-CN"/>
        </w:rPr>
        <w:t xml:space="preserve">日上午  </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lang w:eastAsia="zh-CN"/>
        </w:rPr>
        <w:t>：00 。</w:t>
      </w:r>
    </w:p>
    <w:p w14:paraId="7D1B7ABF">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4.本次招标暂定于  2026  年 </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 xml:space="preserve">  月  </w:t>
      </w:r>
      <w:r>
        <w:rPr>
          <w:rFonts w:hint="eastAsia" w:ascii="宋体" w:hAnsi="宋体" w:eastAsia="宋体" w:cs="宋体"/>
          <w:sz w:val="24"/>
          <w:szCs w:val="24"/>
          <w:u w:val="none"/>
          <w:lang w:val="en-US" w:eastAsia="zh-CN"/>
        </w:rPr>
        <w:t>15</w:t>
      </w:r>
      <w:r>
        <w:rPr>
          <w:rFonts w:hint="eastAsia" w:ascii="宋体" w:hAnsi="宋体" w:eastAsia="宋体" w:cs="宋体"/>
          <w:sz w:val="24"/>
          <w:szCs w:val="24"/>
          <w:u w:val="none"/>
          <w:lang w:eastAsia="zh-CN"/>
        </w:rPr>
        <w:t xml:space="preserve">日上午 </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lang w:eastAsia="zh-CN"/>
        </w:rPr>
        <w:t>:30  点开标。</w:t>
      </w:r>
    </w:p>
    <w:p w14:paraId="2240ED52">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九</w:t>
      </w:r>
      <w:r>
        <w:rPr>
          <w:rFonts w:hint="eastAsia" w:ascii="宋体" w:hAnsi="宋体" w:eastAsia="宋体" w:cs="宋体"/>
          <w:sz w:val="24"/>
          <w:szCs w:val="24"/>
          <w:u w:val="none"/>
          <w:lang w:eastAsia="zh-CN"/>
        </w:rPr>
        <w:t>、联系方式：</w:t>
      </w:r>
    </w:p>
    <w:p w14:paraId="2FDD270D">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于工 15154227806  李工18669779127</w:t>
      </w:r>
    </w:p>
    <w:p w14:paraId="522FE36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十、其他未尽事宜以邀标文件为准。</w:t>
      </w:r>
      <w:bookmarkStart w:id="0" w:name="_GoBack"/>
      <w:bookmarkEnd w:id="0"/>
    </w:p>
    <w:p w14:paraId="1233E3C7">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p>
    <w:p w14:paraId="6BB5F85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p>
    <w:p w14:paraId="3F054ADE">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6240" w:firstLineChars="26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青岛海氏海诺乐享医疗器械有限公司 </w:t>
      </w:r>
    </w:p>
    <w:p w14:paraId="49160D13">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7440" w:firstLineChars="31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2026年</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月</w:t>
      </w:r>
    </w:p>
    <w:p w14:paraId="6E00775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851" w:bottom="567" w:left="851" w:header="567"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1876">
    <w:pPr>
      <w:pStyle w:val="6"/>
      <w:spacing w:before="120" w:beforeLines="50"/>
      <w:jc w:val="right"/>
      <w:rPr>
        <w:rFonts w:hint="eastAsia" w:ascii="宋体" w:hAnsi="宋体" w:eastAsia="宋体"/>
        <w:b/>
        <w:bCs/>
        <w:sz w:val="20"/>
        <w:szCs w:val="20"/>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-2540</wp:posOffset>
              </wp:positionV>
              <wp:extent cx="6469380" cy="0"/>
              <wp:effectExtent l="0" t="0" r="0" b="0"/>
              <wp:wrapNone/>
              <wp:docPr id="676284575" name="直接连接符 4"/>
              <wp:cNvGraphicFramePr/>
              <a:graphic xmlns:a="http://schemas.openxmlformats.org/drawingml/2006/main">
                <a:graphicData uri="http://schemas.microsoft.com/office/word/2010/wordprocessingShape">
                  <wps:wsp>
                    <wps:cNvCnPr/>
                    <wps:spPr>
                      <a:xfrm>
                        <a:off x="0" y="0"/>
                        <a:ext cx="64693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05pt;margin-top:-0.2pt;height:0pt;width:509.4pt;z-index:251660288;mso-width-relative:page;mso-height-relative:page;" filled="f" stroked="t" coordsize="21600,21600" o:gfxdata="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9U&#10;crDSAAAABQEAAA8AAAAAAAAAAQAgAAAAIgAAAGRycy9kb3ducmV2LnhtbFBLAQIUABQAAAAIAIdO&#10;4kAHaEBm8AEAALoDAAAOAAAAAAAAAAEAIAAAACEBAABkcnMvZTJvRG9jLnhtbFBLBQYAAAAABgAG&#10;AFkBAACDBQAAAAA=&#10;">
              <v:fill on="f" focussize="0,0"/>
              <v:stroke weight="2pt" color="#4472C4 [3204]" miterlimit="8" joinstyle="miter"/>
              <v:imagedata o:title=""/>
              <o:lock v:ext="edit" aspectratio="f"/>
            </v:line>
          </w:pict>
        </mc:Fallback>
      </mc:AlternateContent>
    </w:r>
    <w:r>
      <w:rPr>
        <w:rFonts w:ascii="宋体" w:hAnsi="宋体" w:eastAsia="宋体"/>
        <w:sz w:val="20"/>
        <w:szCs w:val="20"/>
      </w:rPr>
      <w:t xml:space="preserve">                          </w:t>
    </w:r>
    <w:r>
      <w:rPr>
        <w:rFonts w:ascii="黑体" w:hAnsi="黑体" w:eastAsia="黑体"/>
        <w:b/>
        <w:bCs/>
        <w:sz w:val="24"/>
        <w:szCs w:val="24"/>
      </w:rPr>
      <w:t xml:space="preserve">www.hainuocn.com   </w:t>
    </w:r>
    <w:r>
      <w:rPr>
        <w:rFonts w:hint="eastAsia" w:ascii="黑体" w:hAnsi="黑体" w:eastAsia="黑体"/>
        <w:b/>
        <w:bCs/>
        <w:sz w:val="20"/>
        <w:szCs w:val="20"/>
      </w:rPr>
      <w:t>健康 快乐 成功</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A40E">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1963">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996E">
    <w:pPr>
      <w:pStyle w:val="7"/>
      <w:adjustRightInd w:val="0"/>
      <w:spacing w:after="120" w:afterLines="50"/>
      <w:rPr>
        <w:rFonts w:hint="eastAsia"/>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440055</wp:posOffset>
              </wp:positionV>
              <wp:extent cx="6431280" cy="0"/>
              <wp:effectExtent l="0" t="0" r="0" b="0"/>
              <wp:wrapNone/>
              <wp:docPr id="1954956476" name="直接连接符 4"/>
              <wp:cNvGraphicFramePr/>
              <a:graphic xmlns:a="http://schemas.openxmlformats.org/drawingml/2006/main">
                <a:graphicData uri="http://schemas.microsoft.com/office/word/2010/wordprocessingShape">
                  <wps:wsp>
                    <wps:cNvCnPr/>
                    <wps:spPr>
                      <a:xfrm>
                        <a:off x="0" y="0"/>
                        <a:ext cx="64312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55pt;margin-top:34.65pt;height:0pt;width:506.4pt;z-index:251659264;mso-width-relative:page;mso-height-relative:page;" filled="f" stroked="t" coordsize="21600,21600" o:gfxdata="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3hC9YAAAAJAQAADwAAAAAAAAABACAAAAAiAAAAZHJzL2Rvd25yZXYueG1sUEsBAhQAFAAA&#10;AAgAh07iQG19zqnxAQAAuwMAAA4AAAAAAAAAAQAgAAAAJQEAAGRycy9lMm9Eb2MueG1sUEsFBgAA&#10;AAAGAAYAWQEAAIgFAAAAAA==&#10;">
              <v:fill on="f" focussize="0,0"/>
              <v:stroke weight="2pt" color="#4472C4 [3204]" miterlimit="8" joinstyle="miter"/>
              <v:imagedata o:title=""/>
              <o:lock v:ext="edit" aspectratio="f"/>
            </v:line>
          </w:pict>
        </mc:Fallback>
      </mc:AlternateContent>
    </w:r>
    <w:r>
      <w:rPr>
        <w:rFonts w:hint="eastAsia"/>
      </w:rPr>
      <w:pict>
        <v:shape id="PowerPlusWaterMarkObject23189252" o:spid="_x0000_s1027" o:spt="136" type="#_x0000_t136" style="position:absolute;left:0pt;height:146.35pt;width:439.15pt;mso-position-horizontal:center;mso-position-horizontal-relative:margin;mso-position-vertical:center;mso-position-vertical-relative:margin;rotation:20643840f;z-index:-251653120;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r>
      <w:drawing>
        <wp:inline distT="0" distB="0" distL="0" distR="0">
          <wp:extent cx="1112520" cy="381000"/>
          <wp:effectExtent l="0" t="0" r="0" b="0"/>
          <wp:docPr id="426914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1321" cy="384014"/>
                  </a:xfrm>
                  <a:prstGeom prst="rect">
                    <a:avLst/>
                  </a:prstGeom>
                  <a:noFill/>
                  <a:ln>
                    <a:noFill/>
                  </a:ln>
                </pic:spPr>
              </pic:pic>
            </a:graphicData>
          </a:graphic>
        </wp:inline>
      </w:drawing>
    </w:r>
    <w:r>
      <w:rPr>
        <w:rFonts w:hint="eastAsia" w:ascii="黑体" w:hAnsi="黑体" w:eastAsia="黑体" w:cs="宋体"/>
        <w:b/>
        <w:bCs/>
        <w:sz w:val="24"/>
        <w:szCs w:val="24"/>
      </w:rPr>
      <w:t xml:space="preserve">   青  岛  海  氏  海  诺  乐  享  医  疗  器  械  有  限  公  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CAE3">
    <w:pPr>
      <w:pStyle w:val="7"/>
      <w:rPr>
        <w:rFonts w:hint="eastAsia"/>
      </w:rPr>
    </w:pPr>
    <w:r>
      <w:rPr>
        <w:rFonts w:hint="eastAsia"/>
      </w:rPr>
      <w:pict>
        <v:shape id="PowerPlusWaterMarkObject23189251" o:spid="_x0000_s1026" o:spt="136" type="#_x0000_t136" style="position:absolute;left:0pt;height:146.35pt;width:439.15pt;mso-position-horizontal:center;mso-position-horizontal-relative:margin;mso-position-vertical:center;mso-position-vertical-relative:margin;rotation:20643840f;z-index:-251654144;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E5CA">
    <w:pPr>
      <w:pStyle w:val="7"/>
      <w:rPr>
        <w:rFonts w:hint="eastAsia"/>
      </w:rPr>
    </w:pPr>
    <w:r>
      <w:rPr>
        <w:rFonts w:hint="eastAsia"/>
      </w:rPr>
      <w:pict>
        <v:shape id="PowerPlusWaterMarkObject23189250" o:spid="_x0000_s1025" o:spt="136" type="#_x0000_t136" style="position:absolute;left:0pt;height:146.35pt;width:439.15pt;mso-position-horizontal:center;mso-position-horizontal-relative:margin;mso-position-vertical:center;mso-position-vertical-relative:margin;rotation:20643840f;z-index:-251655168;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874BF"/>
    <w:rsid w:val="0BE47FE4"/>
    <w:rsid w:val="122C390F"/>
    <w:rsid w:val="1EF852A9"/>
    <w:rsid w:val="32F75AC6"/>
    <w:rsid w:val="3AFB38CC"/>
    <w:rsid w:val="4B733EAF"/>
    <w:rsid w:val="64BE5F1C"/>
    <w:rsid w:val="76E32CE4"/>
    <w:rsid w:val="799B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等线" w:hAnsi="等线" w:eastAsia="等线" w:cs="Times New Roman"/>
      <w:szCs w:val="20"/>
    </w:rPr>
  </w:style>
  <w:style w:type="paragraph" w:styleId="3">
    <w:name w:val="annotation text"/>
    <w:basedOn w:val="1"/>
    <w:unhideWhenUsed/>
    <w:qFormat/>
    <w:uiPriority w:val="99"/>
    <w:pPr>
      <w:jc w:val="left"/>
    </w:pPr>
  </w:style>
  <w:style w:type="paragraph" w:styleId="4">
    <w:name w:val="Body Text"/>
    <w:basedOn w:val="1"/>
    <w:link w:val="18"/>
    <w:unhideWhenUsed/>
    <w:qFormat/>
    <w:uiPriority w:val="0"/>
    <w:pPr>
      <w:widowControl/>
      <w:spacing w:before="180" w:after="180"/>
      <w:jc w:val="left"/>
    </w:pPr>
    <w:rPr>
      <w:kern w:val="0"/>
      <w:sz w:val="24"/>
      <w:szCs w:val="24"/>
      <w:lang w:eastAsia="en-US"/>
    </w:rPr>
  </w:style>
  <w:style w:type="paragraph" w:styleId="5">
    <w:name w:val="Balloon Text"/>
    <w:basedOn w:val="1"/>
    <w:link w:val="24"/>
    <w:qFormat/>
    <w:uiPriority w:val="0"/>
    <w:rPr>
      <w:rFonts w:ascii="Times New Roman" w:hAnsi="Times New Roman" w:eastAsia="宋体" w:cs="Times New Roman"/>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oc 1"/>
    <w:basedOn w:val="1"/>
    <w:next w:val="1"/>
    <w:qFormat/>
    <w:uiPriority w:val="39"/>
    <w:rPr>
      <w:rFonts w:ascii="等线" w:hAnsi="等线" w:eastAsia="等线" w:cs="Times New Roman"/>
    </w:rPr>
  </w:style>
  <w:style w:type="paragraph" w:styleId="9">
    <w:name w:val="Normal (Web)"/>
    <w:basedOn w:val="1"/>
    <w:unhideWhenUsed/>
    <w:qFormat/>
    <w:uiPriority w:val="99"/>
    <w:rPr>
      <w:rFonts w:ascii="Times New Roman" w:hAnsi="Times New Roman" w:cs="Times New Roman"/>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正文文本 字符"/>
    <w:basedOn w:val="12"/>
    <w:link w:val="4"/>
    <w:qFormat/>
    <w:uiPriority w:val="0"/>
    <w:rPr>
      <w:kern w:val="0"/>
      <w:sz w:val="24"/>
      <w:szCs w:val="24"/>
      <w:lang w:eastAsia="en-US"/>
    </w:rPr>
  </w:style>
  <w:style w:type="paragraph" w:customStyle="1" w:styleId="19">
    <w:name w:val="List Paragraph"/>
    <w:basedOn w:val="1"/>
    <w:qFormat/>
    <w:uiPriority w:val="99"/>
    <w:pPr>
      <w:ind w:firstLine="420" w:firstLineChars="200"/>
    </w:pPr>
    <w:rPr>
      <w:rFonts w:ascii="等线" w:hAnsi="等线" w:eastAsia="等线" w:cs="Times New Roman"/>
    </w:rPr>
  </w:style>
  <w:style w:type="paragraph" w:customStyle="1" w:styleId="20">
    <w:name w:val="p0"/>
    <w:basedOn w:val="1"/>
    <w:qFormat/>
    <w:uiPriority w:val="0"/>
    <w:pPr>
      <w:widowControl/>
    </w:pPr>
    <w:rPr>
      <w:rFonts w:ascii="等线" w:hAnsi="等线" w:eastAsia="等线" w:cs="Times New Roman"/>
      <w:kern w:val="0"/>
      <w:szCs w:val="21"/>
    </w:rPr>
  </w:style>
  <w:style w:type="paragraph" w:customStyle="1" w:styleId="21">
    <w:name w:val="正文_1"/>
    <w:qFormat/>
    <w:uiPriority w:val="0"/>
    <w:pPr>
      <w:widowControl w:val="0"/>
      <w:jc w:val="both"/>
    </w:pPr>
    <w:rPr>
      <w:rFonts w:ascii="等线" w:hAnsi="等线" w:eastAsia="等线" w:cs="Times New Roman"/>
      <w:kern w:val="2"/>
      <w:sz w:val="21"/>
      <w:szCs w:val="24"/>
      <w:lang w:val="en-US" w:eastAsia="zh-CN" w:bidi="ar-SA"/>
    </w:rPr>
  </w:style>
  <w:style w:type="paragraph" w:customStyle="1" w:styleId="22">
    <w:name w:val="First Paragraph"/>
    <w:basedOn w:val="4"/>
    <w:next w:val="4"/>
    <w:qFormat/>
    <w:uiPriority w:val="0"/>
  </w:style>
  <w:style w:type="character" w:customStyle="1" w:styleId="23">
    <w:name w:val="未处理的提及1"/>
    <w:basedOn w:val="12"/>
    <w:unhideWhenUsed/>
    <w:qFormat/>
    <w:uiPriority w:val="99"/>
    <w:rPr>
      <w:color w:val="605E5C"/>
      <w:shd w:val="clear" w:color="auto" w:fill="E1DFDD"/>
    </w:rPr>
  </w:style>
  <w:style w:type="character" w:customStyle="1" w:styleId="24">
    <w:name w:val="批注框文本 字符"/>
    <w:basedOn w:val="12"/>
    <w:link w:val="5"/>
    <w:qFormat/>
    <w:uiPriority w:val="0"/>
    <w:rPr>
      <w:rFonts w:ascii="Times New Roman" w:hAnsi="Times New Roman" w:eastAsia="宋体" w:cs="Times New Roman"/>
      <w:kern w:val="2"/>
      <w:sz w:val="18"/>
      <w:szCs w:val="18"/>
    </w:rPr>
  </w:style>
  <w:style w:type="character" w:customStyle="1" w:styleId="25">
    <w:name w:val="so-ask-best"/>
    <w:qFormat/>
    <w:uiPriority w:val="0"/>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902</Words>
  <Characters>987</Characters>
  <Lines>31</Lines>
  <Paragraphs>8</Paragraphs>
  <TotalTime>95</TotalTime>
  <ScaleCrop>false</ScaleCrop>
  <LinksUpToDate>false</LinksUpToDate>
  <CharactersWithSpaces>1026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2026-06-17T21:08:00Z</dcterms:created>
  <dc:creator>Leo Lee</dc:creator>
  <cp:lastModifiedBy>再不努力我们就老了</cp:lastModifiedBy>
  <cp:lastPrinted>2026-01-10T17:09:00Z</cp:lastPrinted>
  <dcterms:modified xsi:type="dcterms:W3CDTF">2026-07-10T02:45:45Z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eyJoZGlkIjoiN2FmY2Y3YjUzZjBhZDQ5NzExYWQxYWNhODZjMmQxNzYiLCJ1c2VySWQiOiIzMzc1MDU0MTkifQ==</vt:lpwstr>
  </property>
  <property fmtid="{D5CDD505-2E9C-101B-9397-08002B2CF9AE}" pid="3" name="KSOProductBuildVer">
    <vt:lpwstr>2052-12.1.0.26895</vt:lpwstr>
  </property>
  <property fmtid="{D5CDD505-2E9C-101B-9397-08002B2CF9AE}" pid="4" name="ICV">
    <vt:lpwstr>D6CECDFD5D3246B992D47524E2ACE886_13</vt:lpwstr>
  </property>
</Properties>
</file>